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08" w:rsidRPr="00D05508" w:rsidRDefault="00D05508" w:rsidP="00D05508">
      <w:pPr>
        <w:shd w:val="clear" w:color="auto" w:fill="FFFFFF"/>
        <w:adjustRightInd/>
        <w:snapToGrid/>
        <w:spacing w:before="100" w:beforeAutospacing="1" w:after="100" w:afterAutospacing="1"/>
        <w:jc w:val="center"/>
        <w:outlineLvl w:val="0"/>
        <w:rPr>
          <w:rFonts w:ascii="黑体" w:eastAsia="黑体" w:hAnsi="黑体" w:cs="宋体"/>
          <w:color w:val="4E4E4E"/>
          <w:kern w:val="36"/>
          <w:sz w:val="30"/>
          <w:szCs w:val="30"/>
        </w:rPr>
      </w:pPr>
      <w:r w:rsidRPr="00D05508">
        <w:rPr>
          <w:rFonts w:ascii="黑体" w:eastAsia="黑体" w:hAnsi="黑体" w:cs="宋体" w:hint="eastAsia"/>
          <w:color w:val="4E4E4E"/>
          <w:kern w:val="36"/>
          <w:sz w:val="30"/>
          <w:szCs w:val="30"/>
        </w:rPr>
        <w:t>关于做好第十一批陕西省特级教师评选推荐工作的通知</w:t>
      </w:r>
    </w:p>
    <w:p w:rsidR="00D05508" w:rsidRDefault="00D05508" w:rsidP="006D0E55">
      <w:pPr>
        <w:shd w:val="clear" w:color="auto" w:fill="FFFFFF"/>
        <w:adjustRightInd/>
        <w:snapToGrid/>
        <w:spacing w:after="0"/>
        <w:rPr>
          <w:rFonts w:ascii="Verdana" w:eastAsia="宋体" w:hAnsi="Verdana" w:cs="宋体"/>
          <w:color w:val="4E4E4E"/>
          <w:sz w:val="21"/>
          <w:szCs w:val="21"/>
        </w:rPr>
      </w:pP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仿宋" w:eastAsia="仿宋" w:hAnsi="仿宋" w:cs="宋体"/>
          <w:color w:val="4E4E4E"/>
          <w:sz w:val="28"/>
          <w:szCs w:val="28"/>
        </w:rPr>
        <w:t>各市教育局、人力资源和社会保障局，杨凌示范区教育局、人力资源和社会保障局，西咸新区教育卫体局、人社民政局，韩城市、神木市、府谷县教育局、人力资源和社会保障局，省级有关部门，厅属有关单位：</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特级教师是国家为了表彰特别优秀的中小学教师而特设的一种既有先进性又有专业性的称号。为认真贯彻落实《中共中央国务院关于全面深化新时代教师队伍建设改革的意见》（中发〔2018〕4号）精神，进一步加强我省骨干教师队伍建设，激发广大教师工作热情，逐步完善特级教师推荐、培养、评选及管理的办法，根据原国家教委、人事部、财政部《特级教师评选规定》（教人〔1993〕38号）和省教育厅、省人社厅《陕西省特级教师评选与管理办法》（陕教规范〔2015〕7号），经省政府同意，省教育厅、省人社厅研究决定，2018年我省开展第十一批特级教师评选工作。现就有关事项通知如下：</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b/>
          <w:bCs/>
          <w:color w:val="4E4E4E"/>
          <w:sz w:val="28"/>
          <w:szCs w:val="28"/>
        </w:rPr>
        <w:t>      </w:t>
      </w:r>
      <w:r w:rsidRPr="00D05508">
        <w:rPr>
          <w:rFonts w:ascii="仿宋" w:eastAsia="仿宋" w:hAnsi="仿宋" w:cs="宋体"/>
          <w:b/>
          <w:bCs/>
          <w:color w:val="4E4E4E"/>
          <w:sz w:val="28"/>
          <w:szCs w:val="28"/>
        </w:rPr>
        <w:t>一、评选推荐范围</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全省普通中学、小学、幼儿园、特殊教育学校、教师进修学校、职业中学、教研机构、校外教育机构的教师和教研员。</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b/>
          <w:bCs/>
          <w:color w:val="4E4E4E"/>
          <w:sz w:val="28"/>
          <w:szCs w:val="28"/>
        </w:rPr>
        <w:t>      </w:t>
      </w:r>
      <w:r w:rsidRPr="00D05508">
        <w:rPr>
          <w:rFonts w:ascii="仿宋" w:eastAsia="仿宋" w:hAnsi="仿宋" w:cs="宋体"/>
          <w:b/>
          <w:bCs/>
          <w:color w:val="4E4E4E"/>
          <w:sz w:val="28"/>
          <w:szCs w:val="28"/>
        </w:rPr>
        <w:t>二、评选推荐名额及要求</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我省第十一批特级教师推荐名额190个。请各市（区、县）、省级单位按照附件1分配名额进行推荐，一线教师推荐人数应不少于推荐总数的90%。要充分考虑学科学段，边远贫困地区和学前教育、特殊教育、薄弱学科教师应有一定比例，各主学科教师应不超过4名。为能够有效发挥特级教师作用，对截止2018年6月30日前，已年满58周岁的教师和教研员不再参评。</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b/>
          <w:bCs/>
          <w:color w:val="4E4E4E"/>
          <w:sz w:val="28"/>
          <w:szCs w:val="28"/>
        </w:rPr>
        <w:t>      </w:t>
      </w:r>
      <w:r w:rsidRPr="00D05508">
        <w:rPr>
          <w:rFonts w:ascii="仿宋" w:eastAsia="仿宋" w:hAnsi="仿宋" w:cs="宋体"/>
          <w:b/>
          <w:bCs/>
          <w:color w:val="4E4E4E"/>
          <w:sz w:val="28"/>
          <w:szCs w:val="28"/>
        </w:rPr>
        <w:t>三、评选推荐办法</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b/>
          <w:bCs/>
          <w:color w:val="4E4E4E"/>
          <w:sz w:val="28"/>
          <w:szCs w:val="28"/>
        </w:rPr>
        <w:t>（一）评选原则。</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1．公开、公平、公正。</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2．自愿报名、民主测评、社会监督、逐级审查。</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3．思想条件与业务条件并重，教书与育人并重。</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4．质量为首，过程为重，严格考核，宁缺勿滥。</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5．兼顾城乡，统筹学段，协调学科。</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b/>
          <w:bCs/>
          <w:color w:val="4E4E4E"/>
          <w:sz w:val="28"/>
          <w:szCs w:val="28"/>
        </w:rPr>
        <w:t>（二）评选条件。</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1．拥护中国共产党的领导，热爱社会主义祖国，忠诚党和人民的教育事业，认真贯彻执行党的教育方针，有理想信念、有道德情</w:t>
      </w:r>
      <w:r w:rsidRPr="00D05508">
        <w:rPr>
          <w:rFonts w:ascii="仿宋" w:eastAsia="仿宋" w:hAnsi="仿宋" w:cs="宋体"/>
          <w:color w:val="4E4E4E"/>
          <w:sz w:val="28"/>
          <w:szCs w:val="28"/>
        </w:rPr>
        <w:lastRenderedPageBreak/>
        <w:t>操、有扎实知识、有仁爱之心，能模范履行教师职责，爱岗敬业，教书育人，为人师表。</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2．具备相应的教师资格，身体健康，工作热情高，原则上应具有高级教师职务，教龄在15年以上。</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3．在所从事学科领域内具有坚实的基础理论知识和丰富的教育教学经验，能及时把握现代教育的发展方向和学术动态，探索教育教学规律，在全省范围内及本学科领域处于领先地位。</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4．教学态度端正，治学有方；教学管理严谨，师生平等；教学风格独特，方法灵活；教学质量优异，成效显著；关注学生成长，重视培养学生的创新精神和实践能力；执教或指导过市级以上公开课、观摩课和示范课；具有指导青年教师进行教育教学和研究工作的能力，效果良好。</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5．具有先进的教育理念，在教书育人中能灵活运用现代教育理论和教育信息技术，在促进学生全面发展和学生管理工作中有突出的贡献和丰富的经验。有五年以上班主任工作经历，并取得显著成绩。</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6．在教育科学研究方面，尤其在教学法研究和课程建设工作中刻苦钻研，成绩卓著；在课程改革活动中勇于探索，大胆创新，对提高本地区教育教学质量提出了具有一定指导意义和推广价值的意见和建议。近五年来作为第一作者正式出版或发表过具有较高水平的教育教学专著1—2册，或公开发表学术论文、专业文章不少于3篇（教研人员应不少于5篇）。</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此外，对教龄不满15年聘任满3年以上的高级教师；教龄已满15年聘任满5年以上的一级教师，具备下列条件中的任意两项，可以破格申报特级教师：（1）获得国家级或教育部等称号1项或省级称号2项；（2）主持完成国家级教科研课题或省级课题，获得国家基础教育教学成果奖1项或省级基础教育教学成果奖一等奖以上2项；（3）作为第一作者，在正式出版社出版教育教学专著1部（15万字以上），在国家级核心期刊发表教科研论文3篇以上（教研人员应不少于5篇）。</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以上规定条件，凡涉及到聘期、论文发表、著作出版、结题、获奖等的时间计算，均以省上发文截止时间为准。</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b/>
          <w:bCs/>
          <w:color w:val="4E4E4E"/>
          <w:sz w:val="28"/>
          <w:szCs w:val="28"/>
        </w:rPr>
        <w:t>（三）评选与认定程序。</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b/>
          <w:bCs/>
          <w:color w:val="4E4E4E"/>
          <w:sz w:val="28"/>
          <w:szCs w:val="28"/>
        </w:rPr>
        <w:t>1．遴选推荐。</w:t>
      </w:r>
      <w:r w:rsidRPr="00D05508">
        <w:rPr>
          <w:rFonts w:ascii="仿宋" w:eastAsia="仿宋" w:hAnsi="仿宋" w:cs="宋体"/>
          <w:color w:val="4E4E4E"/>
          <w:sz w:val="28"/>
          <w:szCs w:val="28"/>
        </w:rPr>
        <w:t>2018年8—9月，各市（区、县）、省级单位要按照评选文件有关规定，坚持德才兼备、民主推荐、公开选拔、层层评选、严格排序、逐级上报，认真做好省特级教师后备人选的推荐选拔。</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lastRenderedPageBreak/>
        <w:t>      </w:t>
      </w:r>
      <w:r w:rsidRPr="00D05508">
        <w:rPr>
          <w:rFonts w:ascii="仿宋" w:eastAsia="仿宋" w:hAnsi="仿宋" w:cs="宋体"/>
          <w:b/>
          <w:bCs/>
          <w:color w:val="4E4E4E"/>
          <w:sz w:val="28"/>
          <w:szCs w:val="28"/>
        </w:rPr>
        <w:t>2．培养考核。</w:t>
      </w:r>
      <w:r w:rsidRPr="00D05508">
        <w:rPr>
          <w:rFonts w:ascii="仿宋" w:eastAsia="仿宋" w:hAnsi="仿宋" w:cs="宋体"/>
          <w:color w:val="4E4E4E"/>
          <w:sz w:val="28"/>
          <w:szCs w:val="28"/>
        </w:rPr>
        <w:t>2018年9月—2019年6月。省特级教师评选工作领导小组办公室进行初审，确定后备人选，并将适时对各市（区、县）和有关学校后备人选师德师风、教学实绩、科研能力、校本研修等情况进行综合考察。同时，将指导各市（区、县）和省级单位有关学校按照培养计划进行为期一年的跟踪考察，建立档案，定期考核。</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b/>
          <w:bCs/>
          <w:color w:val="4E4E4E"/>
          <w:sz w:val="28"/>
          <w:szCs w:val="28"/>
        </w:rPr>
        <w:t>3．评选认定。</w:t>
      </w:r>
      <w:r w:rsidRPr="00D05508">
        <w:rPr>
          <w:rFonts w:ascii="仿宋" w:eastAsia="仿宋" w:hAnsi="仿宋" w:cs="宋体"/>
          <w:color w:val="4E4E4E"/>
          <w:sz w:val="28"/>
          <w:szCs w:val="28"/>
        </w:rPr>
        <w:t>2019年7—8月。经过为期一年的培养、使用与考核后，根据特级教师后备人选的整体表现，按照量化指标进行排序，确定最后人选，呈交陕西省特级教师评选工作领导小组审定。由省教育厅、省人社厅联合上报省人民政府批准，予以认定、命名，并报教育部备案。</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b/>
          <w:bCs/>
          <w:color w:val="4E4E4E"/>
          <w:sz w:val="28"/>
          <w:szCs w:val="28"/>
        </w:rPr>
        <w:t>      </w:t>
      </w:r>
      <w:r w:rsidRPr="00D05508">
        <w:rPr>
          <w:rFonts w:ascii="仿宋" w:eastAsia="仿宋" w:hAnsi="仿宋" w:cs="宋体"/>
          <w:b/>
          <w:bCs/>
          <w:color w:val="4E4E4E"/>
          <w:sz w:val="28"/>
          <w:szCs w:val="28"/>
        </w:rPr>
        <w:t>四、组织机构</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省教育厅、省人社厅成立全省特级教师评选工作领导小组及办公室，办公室设在省教育厅（教师工作处），具体负责特级教师的评选与管理工作。各市（区、县）和省级单位也应成立相应机构，负责本地区、本单位特级教师的评选推荐与管理工作。</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b/>
          <w:bCs/>
          <w:color w:val="4E4E4E"/>
          <w:sz w:val="28"/>
          <w:szCs w:val="28"/>
        </w:rPr>
        <w:t>      </w:t>
      </w:r>
      <w:r w:rsidRPr="00D05508">
        <w:rPr>
          <w:rFonts w:ascii="仿宋" w:eastAsia="仿宋" w:hAnsi="仿宋" w:cs="宋体"/>
          <w:b/>
          <w:bCs/>
          <w:color w:val="4E4E4E"/>
          <w:sz w:val="28"/>
          <w:szCs w:val="28"/>
        </w:rPr>
        <w:t>五、考核管理</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各市（区、县）、各省级单位要加强对特级教师合理使用与流动的管理。中小学一线教师自授予特级教师荣誉称号之日起，原则上应在本地服务至少三年方准流动，鼓励特级教师到乡村学校任教或定点帮扶。今后，非经各市（区、县）教育、人社行政部门审批，省教育厅备案，特级教师不得流动。凡未经组织批准，私自流动或被县域外学校聘用的，将取消特级教师培养与认定资格，停止聘用学校的评优资格，包括优秀教师和正高级教师评选、骨干教师选拔与认定等资格。</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六、报送材料及要求</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（一）各市（区、县）关于本地区特级教师推荐工作的总结报告一式3份。</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（二）《陕西省第十一批特级教师推荐人选一览表（样表）》（附件2）一式5份。</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（三）每位特级教师推荐人选的申报材料，要求一人一袋，封面附材料清单，材料内容包括：</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1．《陕西省特级教师审批表》（附件3）一式5份；</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2．学历证书、任职资格证书、职务聘书和获奖证书扫描件。要求单独装订成册，加盖所在单位公章；</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3．正式出版的教育专著或公开发表的学术论文、专业文章扫描件。要求编印目录，并附含有刊物、著作的封面、标题、姓名等内容的复印件，单独装订成册，封面和目录加盖单位公章；</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lastRenderedPageBreak/>
        <w:t>      </w:t>
      </w:r>
      <w:r w:rsidRPr="00D05508">
        <w:rPr>
          <w:rFonts w:ascii="仿宋" w:eastAsia="仿宋" w:hAnsi="仿宋" w:cs="宋体"/>
          <w:color w:val="4E4E4E"/>
          <w:sz w:val="28"/>
          <w:szCs w:val="28"/>
        </w:rPr>
        <w:t>4．一节课堂实录，要求制作成DVD或VCD光盘，并附封面标签，注明：隶属、姓名和工作单位。</w:t>
      </w:r>
    </w:p>
    <w:p w:rsidR="006D0E55" w:rsidRPr="00D05508" w:rsidRDefault="006D0E55" w:rsidP="006D0E55">
      <w:pPr>
        <w:shd w:val="clear" w:color="auto" w:fill="FFFFFF"/>
        <w:adjustRightInd/>
        <w:snapToGrid/>
        <w:spacing w:after="0"/>
        <w:rPr>
          <w:rFonts w:ascii="仿宋" w:eastAsia="仿宋" w:hAnsi="仿宋" w:cs="宋体"/>
          <w:color w:val="4E4E4E"/>
          <w:sz w:val="28"/>
          <w:szCs w:val="28"/>
        </w:rPr>
      </w:pPr>
      <w:r w:rsidRPr="00D05508">
        <w:rPr>
          <w:rFonts w:ascii="Verdana" w:eastAsia="仿宋" w:hAnsi="Verdana" w:cs="宋体"/>
          <w:color w:val="4E4E4E"/>
          <w:sz w:val="28"/>
          <w:szCs w:val="28"/>
        </w:rPr>
        <w:t>      </w:t>
      </w:r>
      <w:r w:rsidRPr="00D05508">
        <w:rPr>
          <w:rFonts w:ascii="仿宋" w:eastAsia="仿宋" w:hAnsi="仿宋" w:cs="宋体"/>
          <w:color w:val="4E4E4E"/>
          <w:sz w:val="28"/>
          <w:szCs w:val="28"/>
        </w:rPr>
        <w:t>凡上报材料中的扫描件或复印件，请各市（区、县）教育、人社行政部门务必加盖公章确认属实。各地上报的工作总结、特级教师评审表请用Word文档保存，推荐人选一览表用Excel表保存。</w:t>
      </w:r>
    </w:p>
    <w:p w:rsidR="004358AB" w:rsidRDefault="004358AB" w:rsidP="00D31D50">
      <w:pPr>
        <w:spacing w:line="220" w:lineRule="atLeast"/>
        <w:rPr>
          <w:rFonts w:hint="eastAsia"/>
        </w:rPr>
      </w:pPr>
    </w:p>
    <w:p w:rsidR="00755A94" w:rsidRDefault="00755A94" w:rsidP="00D31D50">
      <w:pPr>
        <w:spacing w:line="220" w:lineRule="atLeast"/>
        <w:rPr>
          <w:rFonts w:hint="eastAsia"/>
        </w:rPr>
      </w:pPr>
    </w:p>
    <w:p w:rsidR="00755A94" w:rsidRPr="00755A94" w:rsidRDefault="00755A94" w:rsidP="00755A94">
      <w:pPr>
        <w:spacing w:line="220" w:lineRule="atLeast"/>
        <w:ind w:leftChars="1800" w:left="3960" w:firstLineChars="350" w:firstLine="980"/>
        <w:rPr>
          <w:rFonts w:ascii="仿宋" w:eastAsia="仿宋" w:hAnsi="仿宋" w:cs="宋体"/>
          <w:color w:val="4E4E4E"/>
          <w:sz w:val="28"/>
          <w:szCs w:val="28"/>
        </w:rPr>
      </w:pPr>
      <w:r w:rsidRPr="00755A94">
        <w:rPr>
          <w:rFonts w:ascii="仿宋" w:eastAsia="仿宋" w:hAnsi="仿宋" w:cs="宋体"/>
          <w:color w:val="4E4E4E"/>
          <w:sz w:val="28"/>
          <w:szCs w:val="28"/>
        </w:rPr>
        <w:t>陕西省教育厅</w:t>
      </w:r>
      <w:r w:rsidRPr="00755A94">
        <w:rPr>
          <w:rFonts w:ascii="仿宋" w:eastAsia="仿宋" w:hAnsi="仿宋" w:cs="宋体"/>
          <w:color w:val="4E4E4E"/>
          <w:sz w:val="28"/>
          <w:szCs w:val="28"/>
        </w:rPr>
        <w:br/>
        <w:t>陕西省人力资源和社会保障厅</w:t>
      </w:r>
    </w:p>
    <w:sectPr w:rsidR="00755A94" w:rsidRPr="00755A94"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C7930"/>
    <w:rsid w:val="00323B43"/>
    <w:rsid w:val="003D37D8"/>
    <w:rsid w:val="00426133"/>
    <w:rsid w:val="004358AB"/>
    <w:rsid w:val="00591E73"/>
    <w:rsid w:val="006D0E55"/>
    <w:rsid w:val="006E79FC"/>
    <w:rsid w:val="00755A94"/>
    <w:rsid w:val="008B7726"/>
    <w:rsid w:val="00D0550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D05508"/>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0E55"/>
    <w:rPr>
      <w:b/>
      <w:bCs/>
    </w:rPr>
  </w:style>
  <w:style w:type="character" w:customStyle="1" w:styleId="1Char">
    <w:name w:val="标题 1 Char"/>
    <w:basedOn w:val="a0"/>
    <w:link w:val="1"/>
    <w:uiPriority w:val="9"/>
    <w:rsid w:val="00D05508"/>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65680883">
      <w:bodyDiv w:val="1"/>
      <w:marLeft w:val="0"/>
      <w:marRight w:val="0"/>
      <w:marTop w:val="0"/>
      <w:marBottom w:val="0"/>
      <w:divBdr>
        <w:top w:val="none" w:sz="0" w:space="0" w:color="auto"/>
        <w:left w:val="none" w:sz="0" w:space="0" w:color="auto"/>
        <w:bottom w:val="none" w:sz="0" w:space="0" w:color="auto"/>
        <w:right w:val="none" w:sz="0" w:space="0" w:color="auto"/>
      </w:divBdr>
    </w:div>
    <w:div w:id="350766938">
      <w:bodyDiv w:val="1"/>
      <w:marLeft w:val="0"/>
      <w:marRight w:val="0"/>
      <w:marTop w:val="0"/>
      <w:marBottom w:val="0"/>
      <w:divBdr>
        <w:top w:val="none" w:sz="0" w:space="0" w:color="auto"/>
        <w:left w:val="none" w:sz="0" w:space="0" w:color="auto"/>
        <w:bottom w:val="none" w:sz="0" w:space="0" w:color="auto"/>
        <w:right w:val="none" w:sz="0" w:space="0" w:color="auto"/>
      </w:divBdr>
      <w:divsChild>
        <w:div w:id="869076758">
          <w:marLeft w:val="0"/>
          <w:marRight w:val="0"/>
          <w:marTop w:val="0"/>
          <w:marBottom w:val="0"/>
          <w:divBdr>
            <w:top w:val="none" w:sz="0" w:space="0" w:color="auto"/>
            <w:left w:val="none" w:sz="0" w:space="0" w:color="auto"/>
            <w:bottom w:val="none" w:sz="0" w:space="0" w:color="auto"/>
            <w:right w:val="none" w:sz="0" w:space="0" w:color="auto"/>
          </w:divBdr>
        </w:div>
        <w:div w:id="1049692915">
          <w:marLeft w:val="0"/>
          <w:marRight w:val="0"/>
          <w:marTop w:val="0"/>
          <w:marBottom w:val="0"/>
          <w:divBdr>
            <w:top w:val="none" w:sz="0" w:space="0" w:color="auto"/>
            <w:left w:val="none" w:sz="0" w:space="0" w:color="auto"/>
            <w:bottom w:val="none" w:sz="0" w:space="0" w:color="auto"/>
            <w:right w:val="none" w:sz="0" w:space="0" w:color="auto"/>
          </w:divBdr>
        </w:div>
        <w:div w:id="427700384">
          <w:marLeft w:val="0"/>
          <w:marRight w:val="0"/>
          <w:marTop w:val="0"/>
          <w:marBottom w:val="0"/>
          <w:divBdr>
            <w:top w:val="none" w:sz="0" w:space="0" w:color="auto"/>
            <w:left w:val="none" w:sz="0" w:space="0" w:color="auto"/>
            <w:bottom w:val="none" w:sz="0" w:space="0" w:color="auto"/>
            <w:right w:val="none" w:sz="0" w:space="0" w:color="auto"/>
          </w:divBdr>
        </w:div>
        <w:div w:id="56318162">
          <w:marLeft w:val="0"/>
          <w:marRight w:val="0"/>
          <w:marTop w:val="0"/>
          <w:marBottom w:val="0"/>
          <w:divBdr>
            <w:top w:val="none" w:sz="0" w:space="0" w:color="auto"/>
            <w:left w:val="none" w:sz="0" w:space="0" w:color="auto"/>
            <w:bottom w:val="none" w:sz="0" w:space="0" w:color="auto"/>
            <w:right w:val="none" w:sz="0" w:space="0" w:color="auto"/>
          </w:divBdr>
        </w:div>
        <w:div w:id="35593990">
          <w:marLeft w:val="0"/>
          <w:marRight w:val="0"/>
          <w:marTop w:val="0"/>
          <w:marBottom w:val="0"/>
          <w:divBdr>
            <w:top w:val="none" w:sz="0" w:space="0" w:color="auto"/>
            <w:left w:val="none" w:sz="0" w:space="0" w:color="auto"/>
            <w:bottom w:val="none" w:sz="0" w:space="0" w:color="auto"/>
            <w:right w:val="none" w:sz="0" w:space="0" w:color="auto"/>
          </w:divBdr>
        </w:div>
        <w:div w:id="1183397483">
          <w:marLeft w:val="0"/>
          <w:marRight w:val="0"/>
          <w:marTop w:val="0"/>
          <w:marBottom w:val="0"/>
          <w:divBdr>
            <w:top w:val="none" w:sz="0" w:space="0" w:color="auto"/>
            <w:left w:val="none" w:sz="0" w:space="0" w:color="auto"/>
            <w:bottom w:val="none" w:sz="0" w:space="0" w:color="auto"/>
            <w:right w:val="none" w:sz="0" w:space="0" w:color="auto"/>
          </w:divBdr>
        </w:div>
        <w:div w:id="1217861631">
          <w:marLeft w:val="0"/>
          <w:marRight w:val="0"/>
          <w:marTop w:val="0"/>
          <w:marBottom w:val="0"/>
          <w:divBdr>
            <w:top w:val="none" w:sz="0" w:space="0" w:color="auto"/>
            <w:left w:val="none" w:sz="0" w:space="0" w:color="auto"/>
            <w:bottom w:val="none" w:sz="0" w:space="0" w:color="auto"/>
            <w:right w:val="none" w:sz="0" w:space="0" w:color="auto"/>
          </w:divBdr>
        </w:div>
        <w:div w:id="344484048">
          <w:marLeft w:val="0"/>
          <w:marRight w:val="0"/>
          <w:marTop w:val="0"/>
          <w:marBottom w:val="0"/>
          <w:divBdr>
            <w:top w:val="none" w:sz="0" w:space="0" w:color="auto"/>
            <w:left w:val="none" w:sz="0" w:space="0" w:color="auto"/>
            <w:bottom w:val="none" w:sz="0" w:space="0" w:color="auto"/>
            <w:right w:val="none" w:sz="0" w:space="0" w:color="auto"/>
          </w:divBdr>
        </w:div>
        <w:div w:id="552276072">
          <w:marLeft w:val="0"/>
          <w:marRight w:val="0"/>
          <w:marTop w:val="0"/>
          <w:marBottom w:val="0"/>
          <w:divBdr>
            <w:top w:val="none" w:sz="0" w:space="0" w:color="auto"/>
            <w:left w:val="none" w:sz="0" w:space="0" w:color="auto"/>
            <w:bottom w:val="none" w:sz="0" w:space="0" w:color="auto"/>
            <w:right w:val="none" w:sz="0" w:space="0" w:color="auto"/>
          </w:divBdr>
        </w:div>
        <w:div w:id="94253740">
          <w:marLeft w:val="0"/>
          <w:marRight w:val="0"/>
          <w:marTop w:val="0"/>
          <w:marBottom w:val="0"/>
          <w:divBdr>
            <w:top w:val="none" w:sz="0" w:space="0" w:color="auto"/>
            <w:left w:val="none" w:sz="0" w:space="0" w:color="auto"/>
            <w:bottom w:val="none" w:sz="0" w:space="0" w:color="auto"/>
            <w:right w:val="none" w:sz="0" w:space="0" w:color="auto"/>
          </w:divBdr>
        </w:div>
        <w:div w:id="38356638">
          <w:marLeft w:val="0"/>
          <w:marRight w:val="0"/>
          <w:marTop w:val="0"/>
          <w:marBottom w:val="0"/>
          <w:divBdr>
            <w:top w:val="none" w:sz="0" w:space="0" w:color="auto"/>
            <w:left w:val="none" w:sz="0" w:space="0" w:color="auto"/>
            <w:bottom w:val="none" w:sz="0" w:space="0" w:color="auto"/>
            <w:right w:val="none" w:sz="0" w:space="0" w:color="auto"/>
          </w:divBdr>
        </w:div>
        <w:div w:id="976304563">
          <w:marLeft w:val="0"/>
          <w:marRight w:val="0"/>
          <w:marTop w:val="0"/>
          <w:marBottom w:val="0"/>
          <w:divBdr>
            <w:top w:val="none" w:sz="0" w:space="0" w:color="auto"/>
            <w:left w:val="none" w:sz="0" w:space="0" w:color="auto"/>
            <w:bottom w:val="none" w:sz="0" w:space="0" w:color="auto"/>
            <w:right w:val="none" w:sz="0" w:space="0" w:color="auto"/>
          </w:divBdr>
        </w:div>
        <w:div w:id="554122037">
          <w:marLeft w:val="0"/>
          <w:marRight w:val="0"/>
          <w:marTop w:val="0"/>
          <w:marBottom w:val="0"/>
          <w:divBdr>
            <w:top w:val="none" w:sz="0" w:space="0" w:color="auto"/>
            <w:left w:val="none" w:sz="0" w:space="0" w:color="auto"/>
            <w:bottom w:val="none" w:sz="0" w:space="0" w:color="auto"/>
            <w:right w:val="none" w:sz="0" w:space="0" w:color="auto"/>
          </w:divBdr>
        </w:div>
        <w:div w:id="1903321031">
          <w:marLeft w:val="0"/>
          <w:marRight w:val="0"/>
          <w:marTop w:val="0"/>
          <w:marBottom w:val="0"/>
          <w:divBdr>
            <w:top w:val="none" w:sz="0" w:space="0" w:color="auto"/>
            <w:left w:val="none" w:sz="0" w:space="0" w:color="auto"/>
            <w:bottom w:val="none" w:sz="0" w:space="0" w:color="auto"/>
            <w:right w:val="none" w:sz="0" w:space="0" w:color="auto"/>
          </w:divBdr>
        </w:div>
        <w:div w:id="2033606434">
          <w:marLeft w:val="0"/>
          <w:marRight w:val="0"/>
          <w:marTop w:val="0"/>
          <w:marBottom w:val="0"/>
          <w:divBdr>
            <w:top w:val="none" w:sz="0" w:space="0" w:color="auto"/>
            <w:left w:val="none" w:sz="0" w:space="0" w:color="auto"/>
            <w:bottom w:val="none" w:sz="0" w:space="0" w:color="auto"/>
            <w:right w:val="none" w:sz="0" w:space="0" w:color="auto"/>
          </w:divBdr>
        </w:div>
        <w:div w:id="1304002156">
          <w:marLeft w:val="0"/>
          <w:marRight w:val="0"/>
          <w:marTop w:val="0"/>
          <w:marBottom w:val="0"/>
          <w:divBdr>
            <w:top w:val="none" w:sz="0" w:space="0" w:color="auto"/>
            <w:left w:val="none" w:sz="0" w:space="0" w:color="auto"/>
            <w:bottom w:val="none" w:sz="0" w:space="0" w:color="auto"/>
            <w:right w:val="none" w:sz="0" w:space="0" w:color="auto"/>
          </w:divBdr>
        </w:div>
        <w:div w:id="407652826">
          <w:marLeft w:val="0"/>
          <w:marRight w:val="0"/>
          <w:marTop w:val="0"/>
          <w:marBottom w:val="0"/>
          <w:divBdr>
            <w:top w:val="none" w:sz="0" w:space="0" w:color="auto"/>
            <w:left w:val="none" w:sz="0" w:space="0" w:color="auto"/>
            <w:bottom w:val="none" w:sz="0" w:space="0" w:color="auto"/>
            <w:right w:val="none" w:sz="0" w:space="0" w:color="auto"/>
          </w:divBdr>
        </w:div>
        <w:div w:id="1573391174">
          <w:marLeft w:val="0"/>
          <w:marRight w:val="0"/>
          <w:marTop w:val="0"/>
          <w:marBottom w:val="0"/>
          <w:divBdr>
            <w:top w:val="none" w:sz="0" w:space="0" w:color="auto"/>
            <w:left w:val="none" w:sz="0" w:space="0" w:color="auto"/>
            <w:bottom w:val="none" w:sz="0" w:space="0" w:color="auto"/>
            <w:right w:val="none" w:sz="0" w:space="0" w:color="auto"/>
          </w:divBdr>
        </w:div>
        <w:div w:id="101151893">
          <w:marLeft w:val="0"/>
          <w:marRight w:val="0"/>
          <w:marTop w:val="0"/>
          <w:marBottom w:val="0"/>
          <w:divBdr>
            <w:top w:val="none" w:sz="0" w:space="0" w:color="auto"/>
            <w:left w:val="none" w:sz="0" w:space="0" w:color="auto"/>
            <w:bottom w:val="none" w:sz="0" w:space="0" w:color="auto"/>
            <w:right w:val="none" w:sz="0" w:space="0" w:color="auto"/>
          </w:divBdr>
        </w:div>
        <w:div w:id="701905158">
          <w:marLeft w:val="0"/>
          <w:marRight w:val="0"/>
          <w:marTop w:val="0"/>
          <w:marBottom w:val="0"/>
          <w:divBdr>
            <w:top w:val="none" w:sz="0" w:space="0" w:color="auto"/>
            <w:left w:val="none" w:sz="0" w:space="0" w:color="auto"/>
            <w:bottom w:val="none" w:sz="0" w:space="0" w:color="auto"/>
            <w:right w:val="none" w:sz="0" w:space="0" w:color="auto"/>
          </w:divBdr>
        </w:div>
        <w:div w:id="555897493">
          <w:marLeft w:val="0"/>
          <w:marRight w:val="0"/>
          <w:marTop w:val="0"/>
          <w:marBottom w:val="0"/>
          <w:divBdr>
            <w:top w:val="none" w:sz="0" w:space="0" w:color="auto"/>
            <w:left w:val="none" w:sz="0" w:space="0" w:color="auto"/>
            <w:bottom w:val="none" w:sz="0" w:space="0" w:color="auto"/>
            <w:right w:val="none" w:sz="0" w:space="0" w:color="auto"/>
          </w:divBdr>
        </w:div>
        <w:div w:id="1152867705">
          <w:marLeft w:val="0"/>
          <w:marRight w:val="0"/>
          <w:marTop w:val="0"/>
          <w:marBottom w:val="0"/>
          <w:divBdr>
            <w:top w:val="none" w:sz="0" w:space="0" w:color="auto"/>
            <w:left w:val="none" w:sz="0" w:space="0" w:color="auto"/>
            <w:bottom w:val="none" w:sz="0" w:space="0" w:color="auto"/>
            <w:right w:val="none" w:sz="0" w:space="0" w:color="auto"/>
          </w:divBdr>
        </w:div>
        <w:div w:id="163010303">
          <w:marLeft w:val="0"/>
          <w:marRight w:val="0"/>
          <w:marTop w:val="0"/>
          <w:marBottom w:val="0"/>
          <w:divBdr>
            <w:top w:val="none" w:sz="0" w:space="0" w:color="auto"/>
            <w:left w:val="none" w:sz="0" w:space="0" w:color="auto"/>
            <w:bottom w:val="none" w:sz="0" w:space="0" w:color="auto"/>
            <w:right w:val="none" w:sz="0" w:space="0" w:color="auto"/>
          </w:divBdr>
        </w:div>
        <w:div w:id="132872958">
          <w:marLeft w:val="0"/>
          <w:marRight w:val="0"/>
          <w:marTop w:val="0"/>
          <w:marBottom w:val="0"/>
          <w:divBdr>
            <w:top w:val="none" w:sz="0" w:space="0" w:color="auto"/>
            <w:left w:val="none" w:sz="0" w:space="0" w:color="auto"/>
            <w:bottom w:val="none" w:sz="0" w:space="0" w:color="auto"/>
            <w:right w:val="none" w:sz="0" w:space="0" w:color="auto"/>
          </w:divBdr>
        </w:div>
        <w:div w:id="381245793">
          <w:marLeft w:val="0"/>
          <w:marRight w:val="0"/>
          <w:marTop w:val="0"/>
          <w:marBottom w:val="0"/>
          <w:divBdr>
            <w:top w:val="none" w:sz="0" w:space="0" w:color="auto"/>
            <w:left w:val="none" w:sz="0" w:space="0" w:color="auto"/>
            <w:bottom w:val="none" w:sz="0" w:space="0" w:color="auto"/>
            <w:right w:val="none" w:sz="0" w:space="0" w:color="auto"/>
          </w:divBdr>
        </w:div>
        <w:div w:id="2032604044">
          <w:marLeft w:val="0"/>
          <w:marRight w:val="0"/>
          <w:marTop w:val="0"/>
          <w:marBottom w:val="0"/>
          <w:divBdr>
            <w:top w:val="none" w:sz="0" w:space="0" w:color="auto"/>
            <w:left w:val="none" w:sz="0" w:space="0" w:color="auto"/>
            <w:bottom w:val="none" w:sz="0" w:space="0" w:color="auto"/>
            <w:right w:val="none" w:sz="0" w:space="0" w:color="auto"/>
          </w:divBdr>
        </w:div>
        <w:div w:id="1901475627">
          <w:marLeft w:val="0"/>
          <w:marRight w:val="0"/>
          <w:marTop w:val="0"/>
          <w:marBottom w:val="0"/>
          <w:divBdr>
            <w:top w:val="none" w:sz="0" w:space="0" w:color="auto"/>
            <w:left w:val="none" w:sz="0" w:space="0" w:color="auto"/>
            <w:bottom w:val="none" w:sz="0" w:space="0" w:color="auto"/>
            <w:right w:val="none" w:sz="0" w:space="0" w:color="auto"/>
          </w:divBdr>
        </w:div>
        <w:div w:id="137109078">
          <w:marLeft w:val="0"/>
          <w:marRight w:val="0"/>
          <w:marTop w:val="0"/>
          <w:marBottom w:val="0"/>
          <w:divBdr>
            <w:top w:val="none" w:sz="0" w:space="0" w:color="auto"/>
            <w:left w:val="none" w:sz="0" w:space="0" w:color="auto"/>
            <w:bottom w:val="none" w:sz="0" w:space="0" w:color="auto"/>
            <w:right w:val="none" w:sz="0" w:space="0" w:color="auto"/>
          </w:divBdr>
        </w:div>
        <w:div w:id="1384602715">
          <w:marLeft w:val="0"/>
          <w:marRight w:val="0"/>
          <w:marTop w:val="0"/>
          <w:marBottom w:val="0"/>
          <w:divBdr>
            <w:top w:val="none" w:sz="0" w:space="0" w:color="auto"/>
            <w:left w:val="none" w:sz="0" w:space="0" w:color="auto"/>
            <w:bottom w:val="none" w:sz="0" w:space="0" w:color="auto"/>
            <w:right w:val="none" w:sz="0" w:space="0" w:color="auto"/>
          </w:divBdr>
        </w:div>
        <w:div w:id="1014265978">
          <w:marLeft w:val="0"/>
          <w:marRight w:val="0"/>
          <w:marTop w:val="0"/>
          <w:marBottom w:val="0"/>
          <w:divBdr>
            <w:top w:val="none" w:sz="0" w:space="0" w:color="auto"/>
            <w:left w:val="none" w:sz="0" w:space="0" w:color="auto"/>
            <w:bottom w:val="none" w:sz="0" w:space="0" w:color="auto"/>
            <w:right w:val="none" w:sz="0" w:space="0" w:color="auto"/>
          </w:divBdr>
        </w:div>
        <w:div w:id="380205405">
          <w:marLeft w:val="0"/>
          <w:marRight w:val="0"/>
          <w:marTop w:val="0"/>
          <w:marBottom w:val="0"/>
          <w:divBdr>
            <w:top w:val="none" w:sz="0" w:space="0" w:color="auto"/>
            <w:left w:val="none" w:sz="0" w:space="0" w:color="auto"/>
            <w:bottom w:val="none" w:sz="0" w:space="0" w:color="auto"/>
            <w:right w:val="none" w:sz="0" w:space="0" w:color="auto"/>
          </w:divBdr>
        </w:div>
        <w:div w:id="305282286">
          <w:marLeft w:val="0"/>
          <w:marRight w:val="0"/>
          <w:marTop w:val="0"/>
          <w:marBottom w:val="0"/>
          <w:divBdr>
            <w:top w:val="none" w:sz="0" w:space="0" w:color="auto"/>
            <w:left w:val="none" w:sz="0" w:space="0" w:color="auto"/>
            <w:bottom w:val="none" w:sz="0" w:space="0" w:color="auto"/>
            <w:right w:val="none" w:sz="0" w:space="0" w:color="auto"/>
          </w:divBdr>
        </w:div>
        <w:div w:id="70469163">
          <w:marLeft w:val="0"/>
          <w:marRight w:val="0"/>
          <w:marTop w:val="0"/>
          <w:marBottom w:val="0"/>
          <w:divBdr>
            <w:top w:val="none" w:sz="0" w:space="0" w:color="auto"/>
            <w:left w:val="none" w:sz="0" w:space="0" w:color="auto"/>
            <w:bottom w:val="none" w:sz="0" w:space="0" w:color="auto"/>
            <w:right w:val="none" w:sz="0" w:space="0" w:color="auto"/>
          </w:divBdr>
        </w:div>
        <w:div w:id="2118213501">
          <w:marLeft w:val="0"/>
          <w:marRight w:val="0"/>
          <w:marTop w:val="0"/>
          <w:marBottom w:val="0"/>
          <w:divBdr>
            <w:top w:val="none" w:sz="0" w:space="0" w:color="auto"/>
            <w:left w:val="none" w:sz="0" w:space="0" w:color="auto"/>
            <w:bottom w:val="none" w:sz="0" w:space="0" w:color="auto"/>
            <w:right w:val="none" w:sz="0" w:space="0" w:color="auto"/>
          </w:divBdr>
        </w:div>
        <w:div w:id="1393846267">
          <w:marLeft w:val="0"/>
          <w:marRight w:val="0"/>
          <w:marTop w:val="0"/>
          <w:marBottom w:val="0"/>
          <w:divBdr>
            <w:top w:val="none" w:sz="0" w:space="0" w:color="auto"/>
            <w:left w:val="none" w:sz="0" w:space="0" w:color="auto"/>
            <w:bottom w:val="none" w:sz="0" w:space="0" w:color="auto"/>
            <w:right w:val="none" w:sz="0" w:space="0" w:color="auto"/>
          </w:divBdr>
        </w:div>
        <w:div w:id="1009212070">
          <w:marLeft w:val="0"/>
          <w:marRight w:val="0"/>
          <w:marTop w:val="0"/>
          <w:marBottom w:val="0"/>
          <w:divBdr>
            <w:top w:val="none" w:sz="0" w:space="0" w:color="auto"/>
            <w:left w:val="none" w:sz="0" w:space="0" w:color="auto"/>
            <w:bottom w:val="none" w:sz="0" w:space="0" w:color="auto"/>
            <w:right w:val="none" w:sz="0" w:space="0" w:color="auto"/>
          </w:divBdr>
        </w:div>
        <w:div w:id="1085684524">
          <w:marLeft w:val="0"/>
          <w:marRight w:val="0"/>
          <w:marTop w:val="0"/>
          <w:marBottom w:val="0"/>
          <w:divBdr>
            <w:top w:val="none" w:sz="0" w:space="0" w:color="auto"/>
            <w:left w:val="none" w:sz="0" w:space="0" w:color="auto"/>
            <w:bottom w:val="none" w:sz="0" w:space="0" w:color="auto"/>
            <w:right w:val="none" w:sz="0" w:space="0" w:color="auto"/>
          </w:divBdr>
        </w:div>
        <w:div w:id="658582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2018-09-13T07:20:00Z</dcterms:modified>
</cp:coreProperties>
</file>